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0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80"/>
        <w:gridCol w:w="1674"/>
        <w:gridCol w:w="1875"/>
        <w:gridCol w:w="2523"/>
      </w:tblGrid>
      <w:tr>
        <w:tblPrEx>
          <w:shd w:val="clear" w:color="auto" w:fill="ced7e7"/>
        </w:tblPrEx>
        <w:trPr>
          <w:trHeight w:val="2058" w:hRule="atLeast"/>
        </w:trPr>
        <w:tc>
          <w:tcPr>
            <w:tcW w:type="dxa" w:w="100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  <w:rPr>
                <w:rFonts w:ascii="Calibri" w:cs="Calibri" w:hAnsi="Calibri" w:eastAsia="Calibri"/>
                <w:color w:val="000000"/>
                <w:sz w:val="48"/>
                <w:szCs w:val="48"/>
                <w:u w:color="000000"/>
              </w:rPr>
            </w:pPr>
            <w:r>
              <w:rPr>
                <w:rFonts w:ascii="Calibri" w:cs="Calibri" w:hAnsi="Calibri" w:eastAsia="Calibri"/>
                <w:color w:val="000000"/>
                <w:sz w:val="48"/>
                <w:szCs w:val="48"/>
                <w:u w:color="000000"/>
                <w:rtl w:val="0"/>
                <w:lang w:val="en-US"/>
              </w:rPr>
              <w:t xml:space="preserve">CAMPBELL CLASSICAL ACADEMY TUITION SCHEDULE   </w:t>
            </w:r>
          </w:p>
          <w:p>
            <w:pPr>
              <w:pStyle w:val="Heading 2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color w:val="000000"/>
                <w:sz w:val="48"/>
                <w:szCs w:val="48"/>
                <w:u w:color="000000"/>
                <w:rtl w:val="0"/>
                <w:lang w:val="en-US"/>
              </w:rPr>
              <w:t xml:space="preserve">  2019-2020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40"/>
                <w:szCs w:val="40"/>
                <w:rtl w:val="0"/>
                <w:lang w:val="en-US"/>
              </w:rPr>
              <w:t>Amount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40"/>
                <w:szCs w:val="40"/>
                <w:rtl w:val="0"/>
                <w:lang w:val="en-US"/>
              </w:rPr>
              <w:t>Due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40"/>
                <w:szCs w:val="40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3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36"/>
                <w:szCs w:val="36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en-US"/>
              </w:rPr>
              <w:t>Application Fee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36"/>
                <w:szCs w:val="36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en-US"/>
              </w:rPr>
              <w:t>$100.00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36"/>
                <w:szCs w:val="36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>With Application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rtl w:val="0"/>
                <w:lang w:val="en-US"/>
              </w:rPr>
              <w:t>One-time Nonrefundable, Administrative fee per student.</w:t>
            </w:r>
          </w:p>
        </w:tc>
      </w:tr>
      <w:tr>
        <w:tblPrEx>
          <w:shd w:val="clear" w:color="auto" w:fill="ced7e7"/>
        </w:tblPrEx>
        <w:trPr>
          <w:trHeight w:val="3850" w:hRule="atLeast"/>
        </w:trPr>
        <w:tc>
          <w:tcPr>
            <w:tcW w:type="dxa" w:w="3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36"/>
                <w:szCs w:val="36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36"/>
                <w:szCs w:val="36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en-US"/>
              </w:rPr>
              <w:t>Maintenance/Enrichment Supply Fee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36"/>
                <w:szCs w:val="36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36"/>
                <w:szCs w:val="36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en-US"/>
              </w:rPr>
              <w:t>$150.00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36"/>
                <w:szCs w:val="36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>*Early Payment Discount $125.00 if Paid by May 15th.</w:t>
            </w:r>
            <w:r>
              <w:rPr>
                <w:sz w:val="36"/>
                <w:szCs w:val="36"/>
                <w:rtl w:val="0"/>
                <w:lang w:val="en-US"/>
              </w:rPr>
              <w:t xml:space="preserve">  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rtl w:val="0"/>
                <w:lang w:val="en-US"/>
              </w:rPr>
              <w:t>To be paid before student</w:t>
            </w:r>
            <w:r>
              <w:rPr>
                <w:sz w:val="32"/>
                <w:szCs w:val="32"/>
                <w:rtl w:val="0"/>
                <w:lang w:val="en-US"/>
              </w:rPr>
              <w:t>’</w:t>
            </w:r>
            <w:r>
              <w:rPr>
                <w:sz w:val="32"/>
                <w:szCs w:val="32"/>
                <w:rtl w:val="0"/>
                <w:lang w:val="en-US"/>
              </w:rPr>
              <w:t>s first day of school.  Covers insurance, custodial costs and special enrichment supplies.</w:t>
            </w:r>
            <w:r>
              <w:rPr>
                <w:sz w:val="36"/>
                <w:szCs w:val="36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3470" w:hRule="atLeast"/>
        </w:trPr>
        <w:tc>
          <w:tcPr>
            <w:tcW w:type="dxa" w:w="3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36"/>
                <w:szCs w:val="36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en-US"/>
              </w:rPr>
              <w:t>Annual Tuition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36"/>
                <w:szCs w:val="36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6"/>
                <w:szCs w:val="36"/>
                <w:rtl w:val="0"/>
                <w:lang w:val="en-US"/>
              </w:rPr>
              <w:t>$1,900.00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rtl w:val="0"/>
                <w:lang w:val="en-US"/>
              </w:rPr>
              <w:t>Payment plan option begins August 1</w:t>
            </w:r>
            <w:r>
              <w:rPr>
                <w:sz w:val="32"/>
                <w:szCs w:val="32"/>
                <w:vertAlign w:val="superscript"/>
                <w:rtl w:val="0"/>
                <w:lang w:val="en-US"/>
              </w:rPr>
              <w:t>st</w:t>
            </w:r>
            <w:r>
              <w:rPr>
                <w:sz w:val="32"/>
                <w:szCs w:val="32"/>
                <w:rtl w:val="0"/>
                <w:lang w:val="en-US"/>
              </w:rPr>
              <w:t xml:space="preserve">.  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rtl w:val="0"/>
                <w:lang w:val="en-US"/>
              </w:rPr>
              <w:t>$190.00 per month if paid Aug-May.  Payments due on 1</w:t>
            </w:r>
            <w:r>
              <w:rPr>
                <w:sz w:val="32"/>
                <w:szCs w:val="32"/>
                <w:vertAlign w:val="superscript"/>
                <w:rtl w:val="0"/>
                <w:lang w:val="en-US"/>
              </w:rPr>
              <w:t>st</w:t>
            </w:r>
            <w:r>
              <w:rPr>
                <w:sz w:val="32"/>
                <w:szCs w:val="32"/>
                <w:rtl w:val="0"/>
                <w:lang w:val="en-US"/>
              </w:rPr>
              <w:t xml:space="preserve"> of each month.  One month free for year paid in full by August 1</w:t>
            </w:r>
            <w:r>
              <w:rPr>
                <w:sz w:val="32"/>
                <w:szCs w:val="32"/>
                <w:vertAlign w:val="superscript"/>
                <w:rtl w:val="0"/>
                <w:lang w:val="en-US"/>
              </w:rPr>
              <w:t>st</w:t>
            </w:r>
            <w:r>
              <w:rPr>
                <w:sz w:val="32"/>
                <w:szCs w:val="32"/>
                <w:rtl w:val="0"/>
                <w:lang w:val="en-US"/>
              </w:rPr>
              <w:t xml:space="preserve">. </w:t>
            </w:r>
            <w:r>
              <w:rPr>
                <w:sz w:val="36"/>
                <w:szCs w:val="36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rPr>
          <w:sz w:val="36"/>
          <w:szCs w:val="36"/>
        </w:rPr>
      </w:pPr>
    </w:p>
    <w:p>
      <w:pPr>
        <w:pStyle w:val="Body"/>
        <w:ind w:left="2880" w:firstLine="720"/>
      </w:pPr>
      <w:r>
        <w:rPr>
          <w:sz w:val="36"/>
          <w:szCs w:val="36"/>
        </w:rPr>
        <w:drawing>
          <wp:inline distT="0" distB="0" distL="0" distR="0">
            <wp:extent cx="1441450" cy="15684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568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152" w:right="1152" w:bottom="43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